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中国人民政治协商会议木垒哈萨克自治县委员会2023年度部门决算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政协木垒哈萨克自治县委员会办公室（学习和文史委员会）：负责政协木垒哈萨克自治县委员会机关文秘、机关行政事务的管理工作；负责以政协木垒哈萨克自治县委员会名义召开会议的会务工作；负责各委员会的委员视察、考察、调研、座谈研讨等活动的后勤保障工作；收集反映社会各界人士的意见建议；负责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纪检委等有关部门和上级驻县单位的工作联系；配合上级木垒县政治协商委员会、外地政协木垒哈萨克自治县委员会在我县开展调研考察等活动的联络、接待工作；负责定期组织委员开展学习活动；负责政协木垒哈萨克自治县委员会文史资料工作的对外联络与交流；负责政协木垒哈萨克自治县委员会文史资料编辑工作；负责精神文明建设、社会治安综合治理以及财务管理、离退休老干部管理等行政后勤服务等工作。承担政协木垒哈萨克自治县委员会领导交办的</w:t>
      </w:r>
      <w:r>
        <w:rPr>
          <w:rFonts w:hint="eastAsia" w:ascii="仿宋_GB2312" w:eastAsia="仿宋_GB2312"/>
          <w:sz w:val="32"/>
          <w:szCs w:val="32"/>
          <w:lang w:eastAsia="zh-CN"/>
        </w:rPr>
        <w:t>其他</w:t>
      </w:r>
      <w:r>
        <w:rPr>
          <w:rFonts w:hint="eastAsia" w:ascii="仿宋_GB2312" w:eastAsia="仿宋_GB2312"/>
          <w:sz w:val="32"/>
          <w:szCs w:val="32"/>
        </w:rPr>
        <w:t>工作。</w:t>
      </w:r>
    </w:p>
    <w:p>
      <w:pPr>
        <w:ind w:firstLine="640" w:firstLineChars="200"/>
        <w:rPr>
          <w:rFonts w:ascii="仿宋_GB2312" w:eastAsia="仿宋_GB2312"/>
          <w:sz w:val="32"/>
          <w:szCs w:val="32"/>
        </w:rPr>
      </w:pPr>
      <w:r>
        <w:rPr>
          <w:rFonts w:hint="eastAsia" w:ascii="仿宋_GB2312" w:eastAsia="仿宋_GB2312"/>
          <w:sz w:val="32"/>
          <w:szCs w:val="32"/>
        </w:rPr>
        <w:t>2、经济和提案委员会职责：负责制定和实施本委员会年度工作计划，搞好年度工作总结；负责组织经济界委员会及有关专家、社会人士开展经济建设方面的调查、视察等活动；收集委员和社会人士对自治县经济建设有关事宜的意见建议，反映社情民意；负责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及有关部、委、办、局的对口联系工作；负责本委员会委员的日常联系与工作协调等事宜；负责本委员会各5项活动的宣传报道；负责提案的征集、审查立案、交办、催办、检查和督促、征询反馈意见、评比表彰等工作；负责起草政协木垒哈萨克自治县委员会提案工作报告和全委会期间的提案审查报告。负责完成常委会、主席会交办的</w:t>
      </w:r>
      <w:r>
        <w:rPr>
          <w:rFonts w:hint="eastAsia" w:ascii="仿宋_GB2312" w:eastAsia="仿宋_GB2312"/>
          <w:sz w:val="32"/>
          <w:szCs w:val="32"/>
          <w:lang w:eastAsia="zh-CN"/>
        </w:rPr>
        <w:t>其他</w:t>
      </w:r>
      <w:r>
        <w:rPr>
          <w:rFonts w:hint="eastAsia" w:ascii="仿宋_GB2312" w:eastAsia="仿宋_GB2312"/>
          <w:sz w:val="32"/>
          <w:szCs w:val="32"/>
        </w:rPr>
        <w:t>工作。</w:t>
      </w:r>
    </w:p>
    <w:p>
      <w:pPr>
        <w:ind w:firstLine="640" w:firstLineChars="200"/>
        <w:rPr>
          <w:rFonts w:ascii="仿宋_GB2312" w:eastAsia="仿宋_GB2312"/>
          <w:sz w:val="32"/>
          <w:szCs w:val="32"/>
        </w:rPr>
      </w:pPr>
      <w:r>
        <w:rPr>
          <w:rFonts w:hint="eastAsia" w:ascii="仿宋_GB2312" w:eastAsia="仿宋_GB2312"/>
          <w:sz w:val="32"/>
          <w:szCs w:val="32"/>
        </w:rPr>
        <w:t>3、民族宗教法制社团侨务委员会职责：负责制定本委员会年度工作计划，年中向主席会议报告工作，年末向常委会议提交工作报告；加强与各人民团体、无党派人士的工作联系，反映他们对自治县工作的意见和建议负责组织委员认真学习党的民族统战宗教政策和对外方针政策，积极反映委员及民族、宗教、法制、社团、侨务工作中的热点、难点问题，开展专题调研、视察、考察及咨询活动，积极</w:t>
      </w:r>
      <w:r>
        <w:rPr>
          <w:rFonts w:hint="eastAsia" w:ascii="仿宋_GB2312" w:eastAsia="仿宋_GB2312"/>
          <w:sz w:val="32"/>
          <w:szCs w:val="32"/>
          <w:lang w:eastAsia="zh-CN"/>
        </w:rPr>
        <w:t>建言献策</w:t>
      </w:r>
      <w:r>
        <w:rPr>
          <w:rFonts w:hint="eastAsia" w:ascii="仿宋_GB2312" w:eastAsia="仿宋_GB2312"/>
          <w:sz w:val="32"/>
          <w:szCs w:val="32"/>
        </w:rPr>
        <w:t>，履行政协木垒哈萨克自治县委员会职能；负责本委员会开展各项活动的联系、安排、协调和服务以及相关文字材料的起草及本委员会活动的宣传报道工作；负责本委员会与县委</w:t>
      </w:r>
      <w:r>
        <w:rPr>
          <w:rFonts w:hint="eastAsia" w:ascii="仿宋_GB2312" w:eastAsia="仿宋_GB2312"/>
          <w:sz w:val="32"/>
          <w:szCs w:val="32"/>
          <w:lang w:eastAsia="zh-CN"/>
        </w:rPr>
        <w:t>、县</w:t>
      </w:r>
      <w:r>
        <w:rPr>
          <w:rFonts w:hint="eastAsia" w:ascii="仿宋_GB2312" w:eastAsia="仿宋_GB2312"/>
          <w:sz w:val="32"/>
          <w:szCs w:val="32"/>
        </w:rPr>
        <w:t>人大</w:t>
      </w:r>
      <w:r>
        <w:rPr>
          <w:rFonts w:hint="eastAsia" w:ascii="仿宋_GB2312" w:eastAsia="仿宋_GB2312"/>
          <w:sz w:val="32"/>
          <w:szCs w:val="32"/>
          <w:lang w:eastAsia="zh-CN"/>
        </w:rPr>
        <w:t>、县</w:t>
      </w:r>
      <w:r>
        <w:rPr>
          <w:rFonts w:hint="eastAsia" w:ascii="仿宋_GB2312" w:eastAsia="仿宋_GB2312"/>
          <w:sz w:val="32"/>
          <w:szCs w:val="32"/>
        </w:rPr>
        <w:t>政府及有关部、委、办、局的对口联系工作；负责本委员会的日常联系和工作协调等事宜。负责完成常委会、主席会交办的</w:t>
      </w:r>
      <w:r>
        <w:rPr>
          <w:rFonts w:hint="eastAsia" w:ascii="仿宋_GB2312" w:eastAsia="仿宋_GB2312"/>
          <w:sz w:val="32"/>
          <w:szCs w:val="32"/>
          <w:lang w:eastAsia="zh-CN"/>
        </w:rPr>
        <w:t>其他</w:t>
      </w:r>
      <w:r>
        <w:rPr>
          <w:rFonts w:hint="eastAsia" w:ascii="仿宋_GB2312" w:eastAsia="仿宋_GB2312"/>
          <w:sz w:val="32"/>
          <w:szCs w:val="32"/>
        </w:rPr>
        <w:t>工作。</w:t>
      </w:r>
    </w:p>
    <w:p>
      <w:pPr>
        <w:ind w:firstLine="640" w:firstLineChars="200"/>
        <w:rPr>
          <w:rFonts w:ascii="仿宋_GB2312" w:eastAsia="仿宋_GB2312"/>
          <w:sz w:val="32"/>
          <w:szCs w:val="32"/>
        </w:rPr>
      </w:pPr>
      <w:r>
        <w:rPr>
          <w:rFonts w:hint="eastAsia" w:ascii="仿宋_GB2312" w:eastAsia="仿宋_GB2312"/>
          <w:sz w:val="32"/>
          <w:szCs w:val="32"/>
        </w:rPr>
        <w:t>4、教育科技卫生文化体育委员会职责。负责做好政协委员教育科技卫生各项工作。</w:t>
      </w:r>
    </w:p>
    <w:p>
      <w:pPr>
        <w:ind w:firstLine="640" w:firstLineChars="200"/>
        <w:rPr>
          <w:rFonts w:ascii="仿宋_GB2312" w:eastAsia="仿宋_GB2312"/>
          <w:sz w:val="32"/>
          <w:szCs w:val="32"/>
        </w:rPr>
      </w:pPr>
      <w:r>
        <w:rPr>
          <w:rFonts w:hint="eastAsia" w:ascii="仿宋_GB2312" w:eastAsia="仿宋_GB2312"/>
          <w:sz w:val="32"/>
          <w:szCs w:val="32"/>
        </w:rPr>
        <w:t>5、委员联络中心。负责做好委员管理和日常联络工作。</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中国人民政治协商会议木垒哈萨克自治县委员会2023年度，实有人数</w:t>
      </w:r>
      <w:r>
        <w:rPr>
          <w:rFonts w:hint="eastAsia" w:ascii="仿宋_GB2312" w:eastAsia="仿宋_GB2312"/>
          <w:sz w:val="32"/>
          <w:szCs w:val="32"/>
          <w:lang w:val="zh-CN"/>
        </w:rPr>
        <w:t>33</w:t>
      </w:r>
      <w:r>
        <w:rPr>
          <w:rFonts w:hint="eastAsia" w:ascii="仿宋_GB2312" w:eastAsia="仿宋_GB2312"/>
          <w:sz w:val="32"/>
          <w:szCs w:val="32"/>
        </w:rPr>
        <w:t>人，其中：在职人员</w:t>
      </w:r>
      <w:r>
        <w:rPr>
          <w:rFonts w:hint="eastAsia" w:ascii="仿宋_GB2312" w:eastAsia="仿宋_GB2312"/>
          <w:sz w:val="32"/>
          <w:szCs w:val="32"/>
          <w:lang w:val="zh-CN"/>
        </w:rPr>
        <w:t>19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14</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hAnsi="仿宋_GB2312" w:eastAsia="仿宋_GB2312" w:cs="仿宋_GB2312"/>
          <w:sz w:val="32"/>
          <w:szCs w:val="32"/>
        </w:rPr>
        <w:t>办公室、教育科技卫生委员会、经济提案委员会、民族宗教法制社团侨务委员会、委员联络中心</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2023年度收入总计550.08万元，其中：本年收入合计550.08万元，使用非财政拨款结余0.00万元，年初结转和结余0.00万元。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2023年度支出总计550.08万元，其中：本年支出合计550.08万元，结余分配0.00万元，年末结转和结余0.00万元。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收入支出总体与上年相比，增加54.59万元，增长11.02%，主要原因是：增加政协十五届三次会议费、政协委员视察费用等项目经费。</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550.08万元，其中：财政拨款收入550.08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本年支出550.08万元，其中：基本支出489.63万元，占89.01%；项目支出60.45万元，占10.99%；上缴上级支出0.00万元，占0.00%；经营支出0.00万元，占0.00%；对附属单位补助支出0.00万元，占0.00%。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2023年度财政拨款收入总计550.08万元，其中：年初财政拨款结转和结余0.00万元，本年财政拨款收入550.08万元。财政拨款支出总计550.08万元，其中：年末财政拨款结转和结余0.00万元，本年财政拨款支出550.08万元。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54.58万元，增长11.02%,主要原因是：增加政协十五届三次会议费、政协委员视察费用等项目经费。与年初预算相比，年初预算数513.20万元，决算数550.08万元，预决算差异率7.19%，主要原因是：政协委员视察费用、工作队补助经费年初未纳入预算。</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550.08万元，占本年支出合计的100.00%。与上年相比，增加54.59万元，增长11.02%,主要原因是：增加政协十五届三次会议费、政协委员视察费用等项目经费。与年初预算相比，年初预算数513.20万元，决算数550.08万元，预决算差异率7.19%，主要原因是：政协委员视察费用、工作队补助经费年初未纳入预算。</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427.06</w:t>
      </w:r>
      <w:r>
        <w:rPr>
          <w:rFonts w:ascii="仿宋_GB2312" w:eastAsia="仿宋_GB2312"/>
          <w:sz w:val="32"/>
          <w:szCs w:val="32"/>
        </w:rPr>
        <w:t>万元，占</w:t>
      </w:r>
      <w:r>
        <w:rPr>
          <w:rFonts w:hint="eastAsia" w:ascii="仿宋_GB2312" w:eastAsia="仿宋_GB2312"/>
          <w:sz w:val="32"/>
          <w:szCs w:val="32"/>
        </w:rPr>
        <w:t>77.64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w:t>
      </w:r>
      <w:r>
        <w:rPr>
          <w:rFonts w:hint="eastAsia" w:ascii="仿宋_GB2312" w:eastAsia="仿宋_GB2312"/>
          <w:sz w:val="32"/>
          <w:szCs w:val="32"/>
        </w:rPr>
        <w:t>84.93</w:t>
      </w:r>
      <w:r>
        <w:rPr>
          <w:rFonts w:ascii="仿宋_GB2312" w:eastAsia="仿宋_GB2312"/>
          <w:sz w:val="32"/>
          <w:szCs w:val="32"/>
        </w:rPr>
        <w:t>万元，占</w:t>
      </w:r>
      <w:r>
        <w:rPr>
          <w:rFonts w:hint="eastAsia" w:ascii="仿宋_GB2312" w:eastAsia="仿宋_GB2312"/>
          <w:sz w:val="32"/>
          <w:szCs w:val="32"/>
        </w:rPr>
        <w:t>15.44</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28.61</w:t>
      </w:r>
      <w:r>
        <w:rPr>
          <w:rFonts w:ascii="仿宋_GB2312" w:eastAsia="仿宋_GB2312"/>
          <w:sz w:val="32"/>
          <w:szCs w:val="32"/>
        </w:rPr>
        <w:t>万元，占</w:t>
      </w:r>
      <w:r>
        <w:rPr>
          <w:rFonts w:hint="eastAsia" w:ascii="仿宋_GB2312" w:eastAsia="仿宋_GB2312"/>
          <w:sz w:val="32"/>
          <w:szCs w:val="32"/>
        </w:rPr>
        <w:t>5.20</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9.48</w:t>
      </w:r>
      <w:r>
        <w:rPr>
          <w:rFonts w:ascii="仿宋_GB2312" w:eastAsia="仿宋_GB2312"/>
          <w:sz w:val="32"/>
          <w:szCs w:val="32"/>
        </w:rPr>
        <w:t>万元，占</w:t>
      </w:r>
      <w:r>
        <w:rPr>
          <w:rFonts w:hint="eastAsia" w:ascii="仿宋_GB2312" w:eastAsia="仿宋_GB2312"/>
          <w:sz w:val="32"/>
          <w:szCs w:val="32"/>
        </w:rPr>
        <w:t>1.72</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1.一般公共服务支出（类）政协事务（款）政协会议（项）:支出决算数为28.04万元，比上年决算增加28.04万元，增长100%，主要原因是：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本年增加政协十五届三次会议费。</w:t>
      </w:r>
    </w:p>
    <w:p>
      <w:pPr>
        <w:ind w:firstLine="640" w:firstLineChars="200"/>
        <w:rPr>
          <w:rFonts w:ascii="仿宋_GB2312" w:eastAsia="仿宋_GB2312"/>
          <w:sz w:val="32"/>
          <w:szCs w:val="32"/>
        </w:rPr>
      </w:pPr>
      <w:r>
        <w:rPr>
          <w:rFonts w:hint="eastAsia" w:ascii="仿宋_GB2312" w:eastAsia="仿宋_GB2312"/>
          <w:sz w:val="32"/>
          <w:szCs w:val="32"/>
        </w:rPr>
        <w:t>2.一般公共服务支出（类）政协事务（款）委员视察（项）:支出决算数为0.56万元，比上年决算增加0.56万元，增长100%，主要原因是：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本年增加政协委员视察</w:t>
      </w:r>
      <w:r>
        <w:rPr>
          <w:rFonts w:hint="eastAsia" w:ascii="仿宋_GB2312" w:eastAsia="仿宋_GB2312"/>
          <w:sz w:val="32"/>
          <w:szCs w:val="32"/>
          <w:lang w:val="en-US" w:eastAsia="zh-CN"/>
        </w:rPr>
        <w:t>项目经费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3.住房保障支出（类）住房改革支出（款）住房公积金（项）:支出决算数为28.61万元，比上年决算减少1.17万元，下降3.93%，主要原因是：</w:t>
      </w:r>
      <w:r>
        <w:rPr>
          <w:rFonts w:hint="eastAsia" w:ascii="仿宋_GB2312" w:eastAsia="仿宋_GB2312"/>
          <w:sz w:val="32"/>
          <w:szCs w:val="32"/>
          <w:lang w:val="en-US" w:eastAsia="zh-CN"/>
        </w:rPr>
        <w:t>单位本年在职</w:t>
      </w:r>
      <w:r>
        <w:rPr>
          <w:rFonts w:hint="eastAsia" w:ascii="仿宋_GB2312" w:eastAsia="仿宋_GB2312"/>
          <w:sz w:val="32"/>
          <w:szCs w:val="32"/>
        </w:rPr>
        <w:t>人员</w:t>
      </w:r>
      <w:r>
        <w:rPr>
          <w:rFonts w:hint="eastAsia" w:ascii="仿宋_GB2312" w:eastAsia="仿宋_GB2312"/>
          <w:sz w:val="32"/>
          <w:szCs w:val="32"/>
          <w:lang w:val="en-US" w:eastAsia="zh-CN"/>
        </w:rPr>
        <w:t>转</w:t>
      </w:r>
      <w:r>
        <w:rPr>
          <w:rFonts w:hint="eastAsia" w:ascii="仿宋_GB2312" w:eastAsia="仿宋_GB2312"/>
          <w:sz w:val="32"/>
          <w:szCs w:val="32"/>
        </w:rPr>
        <w:t>退休，</w:t>
      </w:r>
      <w:r>
        <w:rPr>
          <w:rFonts w:hint="eastAsia" w:ascii="仿宋_GB2312" w:eastAsia="仿宋_GB2312"/>
          <w:sz w:val="32"/>
          <w:szCs w:val="32"/>
          <w:lang w:val="en-US" w:eastAsia="zh-CN"/>
        </w:rPr>
        <w:t>人员</w:t>
      </w:r>
      <w:r>
        <w:rPr>
          <w:rFonts w:hint="eastAsia" w:ascii="仿宋_GB2312" w:eastAsia="仿宋_GB2312"/>
          <w:sz w:val="32"/>
          <w:szCs w:val="32"/>
        </w:rPr>
        <w:t>公积金缴费减少。</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4.社会保障和就业支出（类）抚恤（款）死亡抚恤（项）:支出决算数为33.64万元，比上年决算增加33.64万元，增长100%，主要原因是：单位本年人员丧葬费、抚恤金补助较上年增加。</w:t>
      </w:r>
    </w:p>
    <w:p>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5.社会保障和就业支出（类）行政事业单位养老支出（款）行政单位离退休（项）:支出决算数为5.05万元，比上年决算增加3.03万元，增长150.00%，主要原因是：单位本年退休人员交通补助、取暖费增加。</w:t>
      </w:r>
    </w:p>
    <w:p>
      <w:pPr>
        <w:ind w:firstLine="640" w:firstLineChars="200"/>
        <w:rPr>
          <w:rFonts w:ascii="仿宋_GB2312" w:eastAsia="仿宋_GB2312"/>
          <w:sz w:val="32"/>
          <w:szCs w:val="32"/>
        </w:rPr>
      </w:pPr>
      <w:r>
        <w:rPr>
          <w:rFonts w:hint="eastAsia" w:ascii="仿宋_GB2312" w:eastAsia="仿宋_GB2312"/>
          <w:sz w:val="32"/>
          <w:szCs w:val="32"/>
        </w:rPr>
        <w:t>6.一般公共服务支出（类）政协事务（款）其他政协事务支出（项）:支出决算数为22.37万元，比上年决算增加22.37万元，增长100%，主要原因是：增加车辆购置费、自治区基层政协补助经费。</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7.社会保障和就业支出（类）行政事业单位养老支出（款）机关事业单位职业年金缴费支出（项）:支出决算数为10.92万元，比上年决算减少3.81万元，下降25.87%，主要原因是：单位本年退休人员</w:t>
      </w:r>
      <w:r>
        <w:rPr>
          <w:rFonts w:hint="eastAsia" w:ascii="仿宋_GB2312" w:eastAsia="仿宋_GB2312"/>
          <w:sz w:val="32"/>
          <w:szCs w:val="32"/>
          <w:lang w:val="en-US" w:eastAsia="zh-CN"/>
        </w:rPr>
        <w:t>一次性</w:t>
      </w:r>
      <w:r>
        <w:rPr>
          <w:rFonts w:hint="eastAsia" w:ascii="仿宋_GB2312" w:eastAsia="仿宋_GB2312"/>
          <w:sz w:val="32"/>
          <w:szCs w:val="32"/>
        </w:rPr>
        <w:t>职业年金缴费减少。</w:t>
      </w:r>
    </w:p>
    <w:p>
      <w:pPr>
        <w:ind w:firstLine="640" w:firstLineChars="200"/>
        <w:rPr>
          <w:rFonts w:ascii="仿宋_GB2312" w:eastAsia="仿宋_GB2312"/>
          <w:sz w:val="32"/>
          <w:szCs w:val="32"/>
        </w:rPr>
      </w:pPr>
      <w:r>
        <w:rPr>
          <w:rFonts w:hint="eastAsia" w:ascii="仿宋_GB2312" w:eastAsia="仿宋_GB2312"/>
          <w:sz w:val="32"/>
          <w:szCs w:val="32"/>
        </w:rPr>
        <w:t>8.其他支出（类）其他支出（款）其他支出（项）:支出决算数为9.48万元，比上年决算增加8.68万元，增长1085.00%，主要原因是：本年增加工作组</w:t>
      </w:r>
      <w:r>
        <w:rPr>
          <w:rFonts w:hint="eastAsia" w:ascii="仿宋_GB2312" w:eastAsia="仿宋_GB2312"/>
          <w:sz w:val="32"/>
          <w:szCs w:val="32"/>
          <w:lang w:val="en-US" w:eastAsia="zh-CN"/>
        </w:rPr>
        <w:t>个人</w:t>
      </w:r>
      <w:r>
        <w:rPr>
          <w:rFonts w:hint="eastAsia" w:ascii="仿宋_GB2312" w:eastAsia="仿宋_GB2312"/>
          <w:sz w:val="32"/>
          <w:szCs w:val="32"/>
        </w:rPr>
        <w:t>补助</w:t>
      </w:r>
      <w:r>
        <w:rPr>
          <w:rFonts w:hint="eastAsia" w:ascii="仿宋_GB2312" w:eastAsia="仿宋_GB2312"/>
          <w:sz w:val="32"/>
          <w:szCs w:val="32"/>
          <w:lang w:val="en-US" w:eastAsia="zh-CN"/>
        </w:rPr>
        <w:t>项目</w:t>
      </w:r>
      <w:r>
        <w:rPr>
          <w:rFonts w:hint="eastAsia" w:ascii="仿宋_GB2312" w:eastAsia="仿宋_GB2312"/>
          <w:sz w:val="32"/>
          <w:szCs w:val="32"/>
        </w:rPr>
        <w:t>经费。</w:t>
      </w:r>
    </w:p>
    <w:p>
      <w:pPr>
        <w:ind w:firstLine="640" w:firstLineChars="200"/>
        <w:rPr>
          <w:rFonts w:ascii="仿宋_GB2312" w:eastAsia="仿宋_GB2312"/>
          <w:sz w:val="32"/>
          <w:szCs w:val="32"/>
        </w:rPr>
      </w:pPr>
      <w:r>
        <w:rPr>
          <w:rFonts w:hint="eastAsia" w:ascii="仿宋_GB2312" w:eastAsia="仿宋_GB2312"/>
          <w:sz w:val="32"/>
          <w:szCs w:val="32"/>
        </w:rPr>
        <w:t>9.一般公共服务支出（类）政协事务（款）行政运行（项）:支出决算数为376.09万元，比上年决算减少33.87万元，下降8.26%，主要原因是：单位本年人员减少，相应人员工资、津贴补贴、奖金减少。</w:t>
      </w:r>
    </w:p>
    <w:p>
      <w:pPr>
        <w:ind w:firstLine="640" w:firstLineChars="200"/>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35.32万元，比上年决算减少2.89万元，下降7.56%，主要原因是：单位本年人员减少，相应人员养老保险缴费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489.63万元，其中：人员经费429.62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公用经费60.01万元，包括：办公费、印刷费、取暖费、差旅费、维修（护）费、培训费、劳务费、公务用车运行维护费、其他商品和服务支出。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29.75万元，比上年增加13.55万元，增长83.64%,主要原因是：本年新购买公务用车，增加车辆购置费。其中：因公出国（境）费支出0.00万元，占0.00%，比上年增加0.00万元，增长0.00%,主要原因是：本年我单位无此经费；公务用车购置及运行维护费支出29.75万元，占100.00%，比上年增加14.75万元，增长98.33%,主要原因是：本年新购买公务用车，增加车辆购置费；公务接待费支出0.00万元，占0.00%，比上年减少1.20万元，下降100.00%,主要原因是：本年接待安排减少，接待人次、批次减少，接待费用减少。</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因公出国（境）费支出0.00万元，开支内容包括本年我单位无此经费。单位全年安排的因公出国（境）团组0个，因公出国（境）0人次。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29.75万元，其中：公务用车购置费17.37万元，公务用车运行维护费12.38万元。公务用车运行维护费开支内容包括公务用车燃油费、车辆维修维护费、保险费、过路费等。公务用车购置数1辆，公务用车保有量6辆。国有资产占用情况中固定资产车辆6辆，与公务用车保有量差异原因是：本单位固定资产车辆与公务用车保有量一致无差异。</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公务接待费0.00万元，开支内容包括本年我单位无此经费。单位全年安排的国内公务接待0批次，0人次。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29.75万元，决算数29.75万元，预决算差异率0.00%，主要原因是：严格按预算执行，预决算对比无差异。其中：因公出国（境）费全年预算数0.00万元，决算数0.00万元，预决算差异率0.00%，主要原因是：本年我单位无此经费；公务用车购置费全年预算数17.37万元，决算数17.37万元，预决算差异率0.00%，主要原因是：严格按预算执行，预决算对比无差异；公务用车运行费全年预算数12.38万元，决算数12.38万元，预决算差异率0.00%，主要原因是：严格按预算执行，预决算对比无差异；公务接待费全年预算数0.00万元，决算数0.00万元，预决算差异率0.00%，主要原因是：本年我单位无此经费。</w:t>
      </w:r>
    </w:p>
    <w:p>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2023年度中国人民政治协商会议木垒哈萨克自治县委员会（行政单位和参照公务员法管理事业单位）机关运行经费支出60.01万元，比上年减少16.16万元，下降21.22%，主要原因是：本年办公费、</w:t>
      </w:r>
      <w:r>
        <w:rPr>
          <w:rFonts w:hint="eastAsia" w:ascii="仿宋_GB2312" w:eastAsia="仿宋_GB2312"/>
          <w:sz w:val="32"/>
          <w:szCs w:val="32"/>
          <w:lang w:val="en-US" w:eastAsia="zh-CN"/>
        </w:rPr>
        <w:t>公务接待费</w:t>
      </w:r>
      <w:r>
        <w:rPr>
          <w:rFonts w:hint="eastAsia" w:ascii="仿宋_GB2312" w:eastAsia="仿宋_GB2312"/>
          <w:sz w:val="32"/>
          <w:szCs w:val="32"/>
        </w:rPr>
        <w:t>等减少。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2023年度政府采购支出总额36.37万元，其中：政府采购货物支出21.92万元、政府采购工程支出5.00万元、政府采购服务支出9.45万元。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授予中小企业合同金额36.37万元，占政府采购支出总额的100.00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，其中：授予小微企业合同金额28.36万元，占政府采购支出总额的77.98</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156.04万元，房屋0.00平方米，价值0.00万元。车辆6辆，价值132.66万元，其中：副部（省）级及以上领导用车0辆、主要负责人用车0辆、机要通信用车0辆、应急保障用车0辆、执法执勤用车0辆、特种专业技术用车0辆、离退休干部服务用车0辆、其他用车6辆，其他用车主要是：</w:t>
      </w:r>
      <w:r>
        <w:rPr>
          <w:rFonts w:hint="eastAsia" w:ascii="仿宋_GB2312" w:eastAsia="仿宋_GB2312"/>
          <w:sz w:val="32"/>
          <w:szCs w:val="32"/>
          <w:lang w:val="en-US" w:eastAsia="zh-CN"/>
        </w:rPr>
        <w:t>单位</w:t>
      </w:r>
      <w:r>
        <w:rPr>
          <w:rFonts w:hint="eastAsia" w:ascii="仿宋_GB2312" w:eastAsia="仿宋_GB2312"/>
          <w:sz w:val="32"/>
          <w:szCs w:val="32"/>
        </w:rPr>
        <w:t>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550.07</w:t>
      </w:r>
      <w:r>
        <w:rPr>
          <w:rFonts w:hint="eastAsia" w:ascii="仿宋_GB2312" w:eastAsia="仿宋_GB2312"/>
          <w:sz w:val="32"/>
          <w:szCs w:val="32"/>
        </w:rPr>
        <w:t>万元，实际执行总额</w:t>
      </w:r>
      <w:r>
        <w:rPr>
          <w:rFonts w:ascii="仿宋_GB2312" w:eastAsia="仿宋_GB2312"/>
          <w:sz w:val="32"/>
          <w:szCs w:val="32"/>
        </w:rPr>
        <w:t>550.07</w:t>
      </w:r>
      <w:r>
        <w:rPr>
          <w:rFonts w:hint="eastAsia" w:ascii="仿宋_GB2312" w:eastAsia="仿宋_GB2312"/>
          <w:sz w:val="32"/>
          <w:szCs w:val="32"/>
        </w:rPr>
        <w:t>万元；预算绩效评价项目4个，全年预算数</w:t>
      </w:r>
      <w:r>
        <w:rPr>
          <w:rFonts w:ascii="仿宋_GB2312" w:eastAsia="仿宋_GB2312"/>
          <w:sz w:val="32"/>
          <w:szCs w:val="32"/>
        </w:rPr>
        <w:t>32.46</w:t>
      </w:r>
      <w:r>
        <w:rPr>
          <w:rFonts w:hint="eastAsia" w:ascii="仿宋_GB2312" w:eastAsia="仿宋_GB2312"/>
          <w:sz w:val="32"/>
          <w:szCs w:val="32"/>
        </w:rPr>
        <w:t>万元，全年执行数</w:t>
      </w:r>
      <w:r>
        <w:rPr>
          <w:rFonts w:ascii="仿宋_GB2312" w:eastAsia="仿宋_GB2312"/>
          <w:sz w:val="32"/>
          <w:szCs w:val="32"/>
        </w:rPr>
        <w:t>32.46</w:t>
      </w:r>
      <w:r>
        <w:rPr>
          <w:rFonts w:hint="eastAsia" w:ascii="仿宋_GB2312" w:eastAsia="仿宋_GB2312"/>
          <w:sz w:val="32"/>
          <w:szCs w:val="32"/>
        </w:rPr>
        <w:t>万元。预算绩效管理取得的成效：一是提高了办公室服务水平；二是积极做好为民办实事</w:t>
      </w:r>
      <w:r>
        <w:rPr>
          <w:rFonts w:hint="eastAsia" w:ascii="仿宋_GB2312" w:eastAsia="仿宋_GB2312"/>
          <w:sz w:val="32"/>
          <w:szCs w:val="32"/>
          <w:lang w:val="en-US" w:eastAsia="zh-CN"/>
        </w:rPr>
        <w:t>好</w:t>
      </w:r>
      <w:r>
        <w:rPr>
          <w:rFonts w:hint="eastAsia" w:ascii="仿宋_GB2312" w:eastAsia="仿宋_GB2312"/>
          <w:sz w:val="32"/>
          <w:szCs w:val="32"/>
        </w:rPr>
        <w:t>事。发现的问题及原因：一是部分项目预算执行进度不配平衡，主要原因是项目实施过程中的困难估计不足；二是预算项目绩效目标设定不够明确和具体，难以衡量项目的实施效果，原因是对项目的预期成果缺乏清晰的认识，导致目标缺乏可操作性和可衡量性。下一步改进措施：一是进一步做好办公室各项服务工作；二是更加有序</w:t>
      </w:r>
      <w:r>
        <w:rPr>
          <w:rFonts w:hint="eastAsia" w:ascii="仿宋_GB2312" w:eastAsia="仿宋_GB2312"/>
          <w:sz w:val="32"/>
          <w:szCs w:val="32"/>
          <w:lang w:eastAsia="zh-CN"/>
        </w:rPr>
        <w:t>地</w:t>
      </w:r>
      <w:r>
        <w:rPr>
          <w:rFonts w:hint="eastAsia" w:ascii="仿宋_GB2312" w:eastAsia="仿宋_GB2312"/>
          <w:sz w:val="32"/>
          <w:szCs w:val="32"/>
        </w:rPr>
        <w:t>提升为民办实事质量。具体项目自评情况附绩效自评表及自评报告。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814"/>
        <w:gridCol w:w="1015"/>
        <w:gridCol w:w="1342"/>
        <w:gridCol w:w="1251"/>
        <w:gridCol w:w="1159"/>
        <w:gridCol w:w="796"/>
        <w:gridCol w:w="682"/>
        <w:gridCol w:w="463"/>
      </w:tblGrid>
      <w:tr>
        <w:tblPrEx>
          <w:tblLayout w:type="fixed"/>
          <w:tblCellMar>
            <w:top w:w="0" w:type="dxa"/>
            <w:left w:w="108" w:type="dxa"/>
            <w:bottom w:w="0" w:type="dxa"/>
            <w:right w:w="108" w:type="dxa"/>
          </w:tblCellMar>
        </w:tblPrEx>
        <w:trPr>
          <w:trHeight w:val="522"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1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08"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bookmarkStart w:id="48" w:name="_GoBack"/>
            <w:bookmarkEnd w:id="48"/>
            <w:r>
              <w:rPr>
                <w:rFonts w:hint="eastAsia" w:cs="宋体" w:asciiTheme="minorEastAsia" w:hAnsiTheme="minorEastAsia" w:eastAsiaTheme="minorEastAsia"/>
                <w:kern w:val="0"/>
                <w:sz w:val="20"/>
                <w:szCs w:val="20"/>
                <w:lang w:eastAsia="zh-CN"/>
              </w:rPr>
              <w:t>中国人民政治协商会议</w:t>
            </w:r>
            <w:r>
              <w:rPr>
                <w:rFonts w:hint="eastAsia" w:cs="宋体" w:asciiTheme="minorEastAsia" w:hAnsiTheme="minorEastAsia" w:eastAsiaTheme="minorEastAsia"/>
                <w:kern w:val="0"/>
                <w:sz w:val="20"/>
                <w:szCs w:val="20"/>
              </w:rPr>
              <w:t>木垒哈萨克自治县委员会</w:t>
            </w:r>
          </w:p>
        </w:tc>
      </w:tr>
      <w:tr>
        <w:tblPrEx>
          <w:tblLayout w:type="fixed"/>
          <w:tblCellMar>
            <w:top w:w="0" w:type="dxa"/>
            <w:left w:w="108" w:type="dxa"/>
            <w:bottom w:w="0" w:type="dxa"/>
            <w:right w:w="108" w:type="dxa"/>
          </w:tblCellMar>
        </w:tblPrEx>
        <w:trPr>
          <w:trHeight w:val="570" w:hRule="atLeast"/>
        </w:trPr>
        <w:tc>
          <w:tcPr>
            <w:tcW w:w="1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542"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550"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630"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79"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513.</w:t>
            </w:r>
            <w:r>
              <w:rPr>
                <w:rFonts w:hint="eastAsia" w:cs="宋体" w:asciiTheme="minorEastAsia" w:hAnsiTheme="minorEastAsia" w:eastAsiaTheme="minorEastAsia"/>
                <w:kern w:val="0"/>
                <w:sz w:val="20"/>
                <w:szCs w:val="20"/>
              </w:rPr>
              <w:t>20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416"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564"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cs="宋体" w:asciiTheme="minorEastAsia" w:hAnsiTheme="minorEastAsia" w:eastAsiaTheme="minorEastAsia"/>
                <w:kern w:val="0"/>
                <w:sz w:val="20"/>
                <w:szCs w:val="20"/>
              </w:rPr>
              <w:t>513.2</w:t>
            </w:r>
            <w:r>
              <w:rPr>
                <w:rFonts w:hint="eastAsia" w:cs="宋体" w:asciiTheme="minorEastAsia" w:hAnsiTheme="minorEastAsia" w:eastAsiaTheme="minorEastAsia"/>
                <w:kern w:val="0"/>
                <w:sz w:val="20"/>
                <w:szCs w:val="20"/>
              </w:rPr>
              <w:t>0</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550.07</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402" w:hRule="atLeast"/>
        </w:trPr>
        <w:tc>
          <w:tcPr>
            <w:tcW w:w="1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0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100"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608"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按时召开政协全委会议、常委会议、政协委员视察、调研、协商议政、民主评议部门等 ；积极组织机关党员干部各类公益日活动；组织委员开展学习培训，不断提升委员履职能力。</w:t>
            </w:r>
          </w:p>
        </w:tc>
        <w:tc>
          <w:tcPr>
            <w:tcW w:w="31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自评节点，我单位已完成政协全</w:t>
            </w:r>
            <w:r>
              <w:rPr>
                <w:rFonts w:hint="eastAsia" w:cs="宋体" w:asciiTheme="minorEastAsia" w:hAnsiTheme="minorEastAsia" w:eastAsiaTheme="minorEastAsia"/>
                <w:kern w:val="0"/>
                <w:sz w:val="20"/>
                <w:szCs w:val="20"/>
                <w:lang w:eastAsia="zh-CN"/>
              </w:rPr>
              <w:t>体</w:t>
            </w:r>
            <w:r>
              <w:rPr>
                <w:rFonts w:hint="eastAsia" w:cs="宋体" w:asciiTheme="minorEastAsia" w:hAnsiTheme="minorEastAsia" w:eastAsiaTheme="minorEastAsia"/>
                <w:kern w:val="0"/>
                <w:sz w:val="20"/>
                <w:szCs w:val="20"/>
              </w:rPr>
              <w:t>会议、党委会议、政协委员会视察、调研、协商议政、民主评议部门等；积极组织了机关党员干部各类公益日活动组织</w:t>
            </w:r>
            <w:r>
              <w:rPr>
                <w:rFonts w:hint="eastAsia" w:cs="宋体" w:asciiTheme="minorEastAsia" w:hAnsiTheme="minorEastAsia" w:eastAsiaTheme="minorEastAsia"/>
                <w:kern w:val="0"/>
                <w:sz w:val="20"/>
                <w:szCs w:val="20"/>
                <w:lang w:eastAsia="zh-CN"/>
              </w:rPr>
              <w:t>学习</w:t>
            </w:r>
            <w:r>
              <w:rPr>
                <w:rFonts w:hint="eastAsia" w:cs="宋体" w:asciiTheme="minorEastAsia" w:hAnsiTheme="minorEastAsia" w:eastAsiaTheme="minorEastAsia"/>
                <w:kern w:val="0"/>
                <w:sz w:val="20"/>
                <w:szCs w:val="20"/>
              </w:rPr>
              <w:t>培训，不断提升了委员履职能力。</w:t>
            </w:r>
          </w:p>
        </w:tc>
      </w:tr>
      <w:tr>
        <w:tblPrEx>
          <w:tblLayout w:type="fixed"/>
          <w:tblCellMar>
            <w:top w:w="0" w:type="dxa"/>
            <w:left w:w="108" w:type="dxa"/>
            <w:bottom w:w="0" w:type="dxa"/>
            <w:right w:w="108" w:type="dxa"/>
          </w:tblCellMar>
        </w:tblPrEx>
        <w:trPr>
          <w:trHeight w:val="579" w:hRule="atLeast"/>
        </w:trPr>
        <w:tc>
          <w:tcPr>
            <w:tcW w:w="18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1" w:hRule="atLeast"/>
        </w:trPr>
        <w:tc>
          <w:tcPr>
            <w:tcW w:w="1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组织召开政协全委会议</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&gt;=4次</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4次</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机关党员干部、委员参加调研活动次数</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tblPrEx>
          <w:tblLayout w:type="fixed"/>
          <w:tblCellMar>
            <w:top w:w="0" w:type="dxa"/>
            <w:left w:w="108" w:type="dxa"/>
            <w:bottom w:w="0" w:type="dxa"/>
            <w:right w:w="108" w:type="dxa"/>
          </w:tblCellMar>
        </w:tblPrEx>
        <w:trPr>
          <w:trHeight w:val="74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政协例会委员参会率</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tblPrEx>
          <w:tblLayout w:type="fixed"/>
          <w:tblCellMar>
            <w:top w:w="0" w:type="dxa"/>
            <w:left w:w="108" w:type="dxa"/>
            <w:bottom w:w="0" w:type="dxa"/>
            <w:right w:w="108" w:type="dxa"/>
          </w:tblCellMar>
        </w:tblPrEx>
        <w:trPr>
          <w:trHeight w:val="741" w:hRule="atLeast"/>
        </w:trPr>
        <w:tc>
          <w:tcPr>
            <w:tcW w:w="18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委员参加会议培训人数</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&gt;=100人</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100人</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0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34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委员提案办结率</w:t>
            </w:r>
          </w:p>
        </w:tc>
        <w:tc>
          <w:tcPr>
            <w:tcW w:w="1251"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59"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c>
          <w:tcPr>
            <w:tcW w:w="68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3"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13</w:t>
            </w:r>
          </w:p>
        </w:tc>
      </w:tr>
      <w:tr>
        <w:tblPrEx>
          <w:tblLayout w:type="fixed"/>
          <w:tblCellMar>
            <w:top w:w="0" w:type="dxa"/>
            <w:left w:w="108" w:type="dxa"/>
            <w:bottom w:w="0" w:type="dxa"/>
            <w:right w:w="108" w:type="dxa"/>
          </w:tblCellMar>
        </w:tblPrEx>
        <w:trPr>
          <w:trHeight w:val="74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015" w:type="dxa"/>
            <w:vMerge w:val="continue"/>
            <w:tcBorders>
              <w:top w:val="nil"/>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培训出勤率</w:t>
            </w:r>
          </w:p>
        </w:tc>
        <w:tc>
          <w:tcPr>
            <w:tcW w:w="125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tblPrEx>
          <w:tblLayout w:type="fixed"/>
          <w:tblCellMar>
            <w:top w:w="0" w:type="dxa"/>
            <w:left w:w="108" w:type="dxa"/>
            <w:bottom w:w="0" w:type="dxa"/>
            <w:right w:w="108" w:type="dxa"/>
          </w:tblCellMar>
        </w:tblPrEx>
        <w:trPr>
          <w:trHeight w:val="741" w:hRule="atLeast"/>
        </w:trPr>
        <w:tc>
          <w:tcPr>
            <w:tcW w:w="181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s="宋体" w:asciiTheme="minorEastAsia" w:hAnsiTheme="minorEastAsia" w:eastAsiaTheme="minorEastAsia"/>
                <w:kern w:val="0"/>
                <w:sz w:val="20"/>
                <w:szCs w:val="20"/>
              </w:rPr>
            </w:pPr>
          </w:p>
        </w:tc>
        <w:tc>
          <w:tcPr>
            <w:tcW w:w="1015"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34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政协委员培训按期完成率</w:t>
            </w:r>
          </w:p>
        </w:tc>
        <w:tc>
          <w:tcPr>
            <w:tcW w:w="1251"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2023年工作计划</w:t>
            </w: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682"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463"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83"/>
        <w:gridCol w:w="597"/>
        <w:gridCol w:w="710"/>
        <w:gridCol w:w="659"/>
        <w:gridCol w:w="1013"/>
        <w:gridCol w:w="144"/>
        <w:gridCol w:w="850"/>
        <w:gridCol w:w="760"/>
        <w:gridCol w:w="458"/>
        <w:gridCol w:w="417"/>
        <w:gridCol w:w="470"/>
        <w:gridCol w:w="437"/>
        <w:gridCol w:w="479"/>
        <w:gridCol w:w="722"/>
      </w:tblGrid>
      <w:tr>
        <w:tblPrEx>
          <w:tblLayout w:type="fixed"/>
          <w:tblCellMar>
            <w:top w:w="0" w:type="dxa"/>
            <w:left w:w="108" w:type="dxa"/>
            <w:bottom w:w="0" w:type="dxa"/>
            <w:right w:w="108" w:type="dxa"/>
          </w:tblCellMar>
        </w:tblPrEx>
        <w:trPr>
          <w:trHeight w:val="40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tblPrEx>
          <w:tblLayout w:type="fixed"/>
          <w:tblCellMar>
            <w:top w:w="0" w:type="dxa"/>
            <w:left w:w="108" w:type="dxa"/>
            <w:bottom w:w="0" w:type="dxa"/>
            <w:right w:w="108" w:type="dxa"/>
          </w:tblCellMar>
        </w:tblPrEx>
        <w:trPr>
          <w:trHeight w:val="288" w:hRule="atLeast"/>
        </w:trPr>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19"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2023年政协委员活动经费</w:t>
            </w:r>
          </w:p>
        </w:tc>
      </w:tr>
      <w:tr>
        <w:tblPrEx>
          <w:tblLayout w:type="fixed"/>
          <w:tblCellMar>
            <w:top w:w="0" w:type="dxa"/>
            <w:left w:w="108" w:type="dxa"/>
            <w:bottom w:w="0" w:type="dxa"/>
            <w:right w:w="108" w:type="dxa"/>
          </w:tblCellMar>
        </w:tblPrEx>
        <w:trPr>
          <w:trHeight w:val="288" w:hRule="atLeast"/>
        </w:trPr>
        <w:tc>
          <w:tcPr>
            <w:tcW w:w="11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r>
      <w:tr>
        <w:tblPrEx>
          <w:tblLayout w:type="fixed"/>
          <w:tblCellMar>
            <w:top w:w="0" w:type="dxa"/>
            <w:left w:w="108" w:type="dxa"/>
            <w:bottom w:w="0" w:type="dxa"/>
            <w:right w:w="108" w:type="dxa"/>
          </w:tblCellMar>
        </w:tblPrEx>
        <w:trPr>
          <w:trHeight w:val="480" w:hRule="atLeast"/>
        </w:trPr>
        <w:tc>
          <w:tcPr>
            <w:tcW w:w="11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0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11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11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0.60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11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01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7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4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973"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依据昌州财行</w:t>
            </w:r>
            <w:r>
              <w:rPr>
                <w:rFonts w:hint="eastAsia" w:ascii="宋体" w:hAnsi="宋体" w:cs="宋体"/>
                <w:color w:val="000000"/>
                <w:kern w:val="0"/>
                <w:sz w:val="20"/>
                <w:szCs w:val="20"/>
                <w:lang w:eastAsia="zh-CN"/>
              </w:rPr>
              <w:t>〔2023〕7号</w:t>
            </w:r>
            <w:r>
              <w:rPr>
                <w:rFonts w:hint="eastAsia" w:ascii="宋体" w:hAnsi="宋体" w:cs="宋体"/>
                <w:color w:val="000000"/>
                <w:kern w:val="0"/>
                <w:sz w:val="20"/>
                <w:szCs w:val="20"/>
              </w:rPr>
              <w:t>文件《关于下达2023年政协委员活动经费》的要求，拨付2023年党委财经会项目[第一批]6000元，用于委员活动经费，开展走访活动。</w:t>
            </w:r>
          </w:p>
        </w:tc>
        <w:tc>
          <w:tcPr>
            <w:tcW w:w="3743"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截至本项目自评之日，我单位已完成如下工作：用于政协委员活动经费，开展委员大走访等活动2次，参与走访委员人数9人，委员提案采纳率达到80%。</w:t>
            </w:r>
          </w:p>
        </w:tc>
      </w:tr>
      <w:tr>
        <w:tblPrEx>
          <w:tblLayout w:type="fixed"/>
          <w:tblCellMar>
            <w:top w:w="0" w:type="dxa"/>
            <w:left w:w="108" w:type="dxa"/>
            <w:bottom w:w="0" w:type="dxa"/>
            <w:right w:w="108" w:type="dxa"/>
          </w:tblCellMar>
        </w:tblPrEx>
        <w:trPr>
          <w:trHeight w:val="312"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6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走访活动数量</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开两会前增加了一次走访</w:t>
            </w: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参与走访委员人数</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&gt;=9人</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=9人</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走访活动参与率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走访完成及时率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群众对委员投诉率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委员提案采纳率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8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9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被走访群众满意度</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7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531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2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300" w:type="dxa"/>
        <w:tblInd w:w="0" w:type="dxa"/>
        <w:tblLayout w:type="fixed"/>
        <w:tblCellMar>
          <w:top w:w="0" w:type="dxa"/>
          <w:left w:w="108" w:type="dxa"/>
          <w:bottom w:w="0" w:type="dxa"/>
          <w:right w:w="108" w:type="dxa"/>
        </w:tblCellMar>
      </w:tblPr>
      <w:tblGrid>
        <w:gridCol w:w="406"/>
        <w:gridCol w:w="409"/>
        <w:gridCol w:w="626"/>
        <w:gridCol w:w="515"/>
        <w:gridCol w:w="1139"/>
        <w:gridCol w:w="1471"/>
        <w:gridCol w:w="796"/>
        <w:gridCol w:w="365"/>
        <w:gridCol w:w="336"/>
        <w:gridCol w:w="505"/>
        <w:gridCol w:w="136"/>
        <w:gridCol w:w="378"/>
        <w:gridCol w:w="517"/>
        <w:gridCol w:w="701"/>
      </w:tblGrid>
      <w:tr>
        <w:tblPrEx>
          <w:tblLayout w:type="fixed"/>
          <w:tblCellMar>
            <w:top w:w="0" w:type="dxa"/>
            <w:left w:w="108" w:type="dxa"/>
            <w:bottom w:w="0" w:type="dxa"/>
            <w:right w:w="108" w:type="dxa"/>
          </w:tblCellMar>
        </w:tblPrEx>
        <w:trPr>
          <w:trHeight w:val="408"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300" w:type="dxa"/>
            <w:gridSpan w:val="14"/>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tblPrEx>
          <w:tblLayout w:type="fixed"/>
          <w:tblCellMar>
            <w:top w:w="0" w:type="dxa"/>
            <w:left w:w="108" w:type="dxa"/>
            <w:bottom w:w="0" w:type="dxa"/>
            <w:right w:w="108" w:type="dxa"/>
          </w:tblCellMar>
        </w:tblPrEx>
        <w:trPr>
          <w:trHeight w:val="288" w:hRule="atLeast"/>
        </w:trPr>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5"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2023年度为民办实事工作工作队经费</w:t>
            </w:r>
          </w:p>
        </w:tc>
      </w:tr>
      <w:tr>
        <w:tblPrEx>
          <w:tblLayout w:type="fixed"/>
          <w:tblCellMar>
            <w:top w:w="0" w:type="dxa"/>
            <w:left w:w="108" w:type="dxa"/>
            <w:bottom w:w="0" w:type="dxa"/>
            <w:right w:w="108" w:type="dxa"/>
          </w:tblCellMar>
        </w:tblPrEx>
        <w:trPr>
          <w:trHeight w:val="288" w:hRule="atLeast"/>
        </w:trPr>
        <w:tc>
          <w:tcPr>
            <w:tcW w:w="8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51"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57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r>
      <w:tr>
        <w:tblPrEx>
          <w:tblLayout w:type="fixed"/>
          <w:tblCellMar>
            <w:top w:w="0" w:type="dxa"/>
            <w:left w:w="108" w:type="dxa"/>
            <w:bottom w:w="0" w:type="dxa"/>
            <w:right w:w="108" w:type="dxa"/>
          </w:tblCellMar>
        </w:tblPrEx>
        <w:trPr>
          <w:trHeight w:val="480" w:hRule="atLeast"/>
        </w:trPr>
        <w:tc>
          <w:tcPr>
            <w:tcW w:w="8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7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14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97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14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9.48</w:t>
            </w:r>
          </w:p>
        </w:tc>
        <w:tc>
          <w:tcPr>
            <w:tcW w:w="97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8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3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7"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4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6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160"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充分发挥“为民办实事”办组织指导，督促检查，综合协调舆论引导等</w:t>
            </w:r>
            <w:r>
              <w:rPr>
                <w:rFonts w:hint="eastAsia" w:ascii="宋体" w:hAnsi="宋体" w:cs="宋体"/>
                <w:color w:val="000000"/>
                <w:kern w:val="0"/>
                <w:sz w:val="20"/>
                <w:szCs w:val="20"/>
                <w:lang w:eastAsia="zh-CN"/>
              </w:rPr>
              <w:t>职</w:t>
            </w:r>
            <w:r>
              <w:rPr>
                <w:rFonts w:hint="eastAsia" w:ascii="宋体" w:hAnsi="宋体" w:cs="宋体"/>
                <w:color w:val="000000"/>
                <w:kern w:val="0"/>
                <w:sz w:val="20"/>
                <w:szCs w:val="20"/>
              </w:rPr>
              <w:t>能作用，持续深入推进“为民办实事”驻村工作，保证我单位在木垒县迎宾社区“为民办实事”工作顺利进行。</w:t>
            </w:r>
          </w:p>
        </w:tc>
        <w:tc>
          <w:tcPr>
            <w:tcW w:w="3734" w:type="dxa"/>
            <w:gridSpan w:val="8"/>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截至项目自评，我单位已完成如下工作：为民办实事工作队数量1个，参与访贫帮扶民族团结互助等活动 8次。充分发挥“为民办实事”办组织指导，督促检查，综合协调舆论引导等</w:t>
            </w:r>
            <w:r>
              <w:rPr>
                <w:rFonts w:hint="eastAsia" w:ascii="宋体" w:hAnsi="宋体" w:cs="宋体"/>
                <w:color w:val="000000"/>
                <w:kern w:val="0"/>
                <w:sz w:val="20"/>
                <w:szCs w:val="20"/>
                <w:lang w:eastAsia="zh-CN"/>
              </w:rPr>
              <w:t>职</w:t>
            </w:r>
            <w:r>
              <w:rPr>
                <w:rFonts w:hint="eastAsia" w:ascii="宋体" w:hAnsi="宋体" w:cs="宋体"/>
                <w:color w:val="000000"/>
                <w:kern w:val="0"/>
                <w:sz w:val="20"/>
                <w:szCs w:val="20"/>
              </w:rPr>
              <w:t>能作用，持续深入推进“为民办实事”驻村工作，保证我单位在木垒县迎宾社区“为民办实事”工作顺利进行。</w:t>
            </w:r>
          </w:p>
        </w:tc>
      </w:tr>
      <w:tr>
        <w:tblPrEx>
          <w:tblLayout w:type="fixed"/>
          <w:tblCellMar>
            <w:top w:w="0" w:type="dxa"/>
            <w:left w:w="108" w:type="dxa"/>
            <w:bottom w:w="0" w:type="dxa"/>
            <w:right w:w="108" w:type="dxa"/>
          </w:tblCellMar>
        </w:tblPrEx>
        <w:trPr>
          <w:trHeight w:val="312" w:hRule="atLeast"/>
        </w:trPr>
        <w:tc>
          <w:tcPr>
            <w:tcW w:w="4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31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1"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12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01"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1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为民办实事工作队数量</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w:t>
            </w:r>
            <w:r>
              <w:rPr>
                <w:rFonts w:hint="eastAsia" w:ascii="宋体" w:hAnsi="宋体" w:cs="宋体"/>
                <w:color w:val="000000"/>
                <w:kern w:val="0"/>
                <w:sz w:val="20"/>
                <w:szCs w:val="20"/>
                <w:lang w:eastAsia="zh-CN"/>
              </w:rPr>
              <w:t>扶</w:t>
            </w:r>
            <w:r>
              <w:rPr>
                <w:rFonts w:hint="eastAsia" w:ascii="宋体" w:hAnsi="宋体" w:cs="宋体"/>
                <w:color w:val="000000"/>
                <w:kern w:val="0"/>
                <w:sz w:val="20"/>
                <w:szCs w:val="20"/>
              </w:rPr>
              <w:t>贫帮扶民族团结互助等活动</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&gt;=8次</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=8次</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为民办好事及时率</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&gt;=6174人</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=6174人</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40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25"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群众对为民办实事工作的满意度</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606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1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38"/>
        <w:gridCol w:w="541"/>
        <w:gridCol w:w="873"/>
        <w:gridCol w:w="574"/>
        <w:gridCol w:w="1117"/>
        <w:gridCol w:w="325"/>
        <w:gridCol w:w="820"/>
        <w:gridCol w:w="724"/>
        <w:gridCol w:w="375"/>
        <w:gridCol w:w="357"/>
        <w:gridCol w:w="420"/>
        <w:gridCol w:w="436"/>
        <w:gridCol w:w="480"/>
        <w:gridCol w:w="719"/>
      </w:tblGrid>
      <w:tr>
        <w:tblPrEx>
          <w:tblLayout w:type="fixed"/>
          <w:tblCellMar>
            <w:top w:w="0" w:type="dxa"/>
            <w:left w:w="108" w:type="dxa"/>
            <w:bottom w:w="0" w:type="dxa"/>
            <w:right w:w="108" w:type="dxa"/>
          </w:tblCellMar>
        </w:tblPrEx>
        <w:trPr>
          <w:trHeight w:val="40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tblPrEx>
          <w:tblLayout w:type="fixed"/>
          <w:tblCellMar>
            <w:top w:w="0" w:type="dxa"/>
            <w:left w:w="108" w:type="dxa"/>
            <w:bottom w:w="0" w:type="dxa"/>
            <w:right w:w="108" w:type="dxa"/>
          </w:tblCellMar>
        </w:tblPrEx>
        <w:trPr>
          <w:trHeight w:val="288" w:hRule="atLeast"/>
        </w:trPr>
        <w:tc>
          <w:tcPr>
            <w:tcW w:w="1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20"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购置公务用车1辆</w:t>
            </w:r>
          </w:p>
        </w:tc>
      </w:tr>
      <w:tr>
        <w:tblPrEx>
          <w:tblLayout w:type="fixed"/>
          <w:tblCellMar>
            <w:top w:w="0" w:type="dxa"/>
            <w:left w:w="108" w:type="dxa"/>
            <w:bottom w:w="0" w:type="dxa"/>
            <w:right w:w="108" w:type="dxa"/>
          </w:tblCellMar>
        </w:tblPrEx>
        <w:trPr>
          <w:trHeight w:val="288" w:hRule="atLeast"/>
        </w:trPr>
        <w:tc>
          <w:tcPr>
            <w:tcW w:w="10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r>
      <w:tr>
        <w:tblPrEx>
          <w:tblLayout w:type="fixed"/>
          <w:tblCellMar>
            <w:top w:w="0" w:type="dxa"/>
            <w:left w:w="108" w:type="dxa"/>
            <w:bottom w:w="0" w:type="dxa"/>
            <w:right w:w="108" w:type="dxa"/>
          </w:tblCellMar>
        </w:tblPrEx>
        <w:trPr>
          <w:trHeight w:val="480" w:hRule="atLeast"/>
        </w:trPr>
        <w:tc>
          <w:tcPr>
            <w:tcW w:w="10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17.38</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10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1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5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1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50"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为我单位购置公务用车，为办公室提供后勤保障，做好公车调拨，合理配置新能源车辆的合理使用，提高行政运行工作效率的正常运转，办公室主任配合做好车辆的调拨和合理配置使用。</w:t>
            </w:r>
          </w:p>
        </w:tc>
        <w:tc>
          <w:tcPr>
            <w:tcW w:w="3511"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为我单位购置公务用车1辆，为办公室提供后勤保障，做好公车调拨，合理配置新能源车辆的合理使用，提高行政运行工作效率的正常运转，办公室主任配合做好车辆的调拨和合理配置使用。</w:t>
            </w:r>
          </w:p>
        </w:tc>
      </w:tr>
      <w:tr>
        <w:tblPrEx>
          <w:tblLayout w:type="fixed"/>
          <w:tblCellMar>
            <w:top w:w="0" w:type="dxa"/>
            <w:left w:w="108" w:type="dxa"/>
            <w:bottom w:w="0" w:type="dxa"/>
            <w:right w:w="108" w:type="dxa"/>
          </w:tblCellMar>
        </w:tblPrEx>
        <w:trPr>
          <w:trHeight w:val="312" w:hRule="atLeast"/>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7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0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2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5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购置办公用车数量</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&gt;=1辆</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购置车辆质量合格率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车辆采购完成及时率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车辆正常使用率</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7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使用人员满意度</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551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tbl>
      <w:tblPr>
        <w:tblStyle w:val="9"/>
        <w:tblW w:w="8299" w:type="dxa"/>
        <w:tblInd w:w="0" w:type="dxa"/>
        <w:tblLayout w:type="fixed"/>
        <w:tblCellMar>
          <w:top w:w="0" w:type="dxa"/>
          <w:left w:w="108" w:type="dxa"/>
          <w:bottom w:w="0" w:type="dxa"/>
          <w:right w:w="108" w:type="dxa"/>
        </w:tblCellMar>
      </w:tblPr>
      <w:tblGrid>
        <w:gridCol w:w="568"/>
        <w:gridCol w:w="577"/>
        <w:gridCol w:w="836"/>
        <w:gridCol w:w="549"/>
        <w:gridCol w:w="1104"/>
        <w:gridCol w:w="163"/>
        <w:gridCol w:w="835"/>
        <w:gridCol w:w="737"/>
        <w:gridCol w:w="442"/>
        <w:gridCol w:w="395"/>
        <w:gridCol w:w="455"/>
        <w:gridCol w:w="436"/>
        <w:gridCol w:w="480"/>
        <w:gridCol w:w="722"/>
      </w:tblGrid>
      <w:tr>
        <w:tblPrEx>
          <w:tblLayout w:type="fixed"/>
          <w:tblCellMar>
            <w:top w:w="0" w:type="dxa"/>
            <w:left w:w="108" w:type="dxa"/>
            <w:bottom w:w="0" w:type="dxa"/>
            <w:right w:w="108" w:type="dxa"/>
          </w:tblCellMar>
        </w:tblPrEx>
        <w:trPr>
          <w:trHeight w:val="40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tblPrEx>
          <w:tblLayout w:type="fixed"/>
          <w:tblCellMar>
            <w:top w:w="0" w:type="dxa"/>
            <w:left w:w="108" w:type="dxa"/>
            <w:bottom w:w="0" w:type="dxa"/>
            <w:right w:w="108" w:type="dxa"/>
          </w:tblCellMar>
        </w:tblPrEx>
        <w:trPr>
          <w:trHeight w:val="288" w:hRule="atLeast"/>
        </w:trPr>
        <w:tc>
          <w:tcPr>
            <w:tcW w:w="8299" w:type="dxa"/>
            <w:gridSpan w:val="14"/>
            <w:tcBorders>
              <w:top w:val="nil"/>
              <w:left w:val="nil"/>
              <w:bottom w:val="nil"/>
              <w:right w:val="nil"/>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（2023年度）</w:t>
            </w:r>
          </w:p>
        </w:tc>
      </w:tr>
      <w:tr>
        <w:tblPrEx>
          <w:tblLayout w:type="fixed"/>
          <w:tblCellMar>
            <w:top w:w="0" w:type="dxa"/>
            <w:left w:w="108" w:type="dxa"/>
            <w:bottom w:w="0" w:type="dxa"/>
            <w:right w:w="108" w:type="dxa"/>
          </w:tblCellMar>
        </w:tblPrEx>
        <w:trPr>
          <w:trHeight w:val="288" w:hRule="atLeast"/>
        </w:trPr>
        <w:tc>
          <w:tcPr>
            <w:tcW w:w="11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154" w:type="dxa"/>
            <w:gridSpan w:val="1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自治区政协基层补助经费</w:t>
            </w:r>
          </w:p>
        </w:tc>
      </w:tr>
      <w:tr>
        <w:tblPrEx>
          <w:tblLayout w:type="fixed"/>
          <w:tblCellMar>
            <w:top w:w="0" w:type="dxa"/>
            <w:left w:w="108" w:type="dxa"/>
            <w:bottom w:w="0" w:type="dxa"/>
            <w:right w:w="108" w:type="dxa"/>
          </w:tblCellMar>
        </w:tblPrEx>
        <w:trPr>
          <w:trHeight w:val="288" w:hRule="atLeast"/>
        </w:trPr>
        <w:tc>
          <w:tcPr>
            <w:tcW w:w="114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487"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c>
          <w:tcPr>
            <w:tcW w:w="11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8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中国人民政治协商会议木垒哈萨克自治县委员会</w:t>
            </w:r>
          </w:p>
        </w:tc>
      </w:tr>
      <w:tr>
        <w:tblPrEx>
          <w:tblLayout w:type="fixed"/>
          <w:tblCellMar>
            <w:top w:w="0" w:type="dxa"/>
            <w:left w:w="108" w:type="dxa"/>
            <w:bottom w:w="0" w:type="dxa"/>
            <w:right w:w="108" w:type="dxa"/>
          </w:tblCellMar>
        </w:tblPrEx>
        <w:trPr>
          <w:trHeight w:val="480" w:hRule="atLeast"/>
        </w:trPr>
        <w:tc>
          <w:tcPr>
            <w:tcW w:w="11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trPr>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trPr>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9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1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trPr>
        <w:tc>
          <w:tcPr>
            <w:tcW w:w="11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1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9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1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trPr>
        <w:tc>
          <w:tcPr>
            <w:tcW w:w="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6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66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064" w:type="dxa"/>
            <w:gridSpan w:val="6"/>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2023年对</w:t>
            </w:r>
            <w:r>
              <w:rPr>
                <w:rFonts w:hint="eastAsia" w:ascii="宋体" w:hAnsi="宋体" w:cs="宋体"/>
                <w:color w:val="000000"/>
                <w:kern w:val="0"/>
                <w:sz w:val="20"/>
                <w:szCs w:val="20"/>
                <w:lang w:eastAsia="zh-CN"/>
              </w:rPr>
              <w:t>自治区政府</w:t>
            </w:r>
            <w:r>
              <w:rPr>
                <w:rFonts w:hint="eastAsia" w:ascii="宋体" w:hAnsi="宋体" w:cs="宋体"/>
                <w:color w:val="000000"/>
                <w:kern w:val="0"/>
                <w:sz w:val="20"/>
                <w:szCs w:val="20"/>
              </w:rPr>
              <w:t>地国基层工作费补助5万元，主要用于政协办公室会议室粉刷及</w:t>
            </w:r>
            <w:r>
              <w:rPr>
                <w:rFonts w:hint="eastAsia" w:ascii="宋体" w:hAnsi="宋体" w:cs="宋体"/>
                <w:color w:val="000000"/>
                <w:kern w:val="0"/>
                <w:sz w:val="20"/>
                <w:szCs w:val="20"/>
                <w:lang w:eastAsia="zh-CN"/>
              </w:rPr>
              <w:t>提升</w:t>
            </w:r>
            <w:r>
              <w:rPr>
                <w:rFonts w:hint="eastAsia" w:ascii="宋体" w:hAnsi="宋体" w:cs="宋体"/>
                <w:color w:val="000000"/>
                <w:kern w:val="0"/>
                <w:sz w:val="20"/>
                <w:szCs w:val="20"/>
              </w:rPr>
              <w:t>委员会议室利用率，改善办公环境，充分发挥委员作用。</w:t>
            </w:r>
          </w:p>
        </w:tc>
        <w:tc>
          <w:tcPr>
            <w:tcW w:w="3667"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截至本项目自评之日，我单位已完成如下工作：2023年对自治区政协基层工作费补助5万元，主要用于政协办公室会议室粉刷45</w:t>
            </w:r>
            <w:r>
              <w:rPr>
                <w:rFonts w:hint="eastAsia" w:ascii="宋体" w:hAnsi="宋体" w:cs="宋体"/>
                <w:color w:val="000000"/>
                <w:kern w:val="0"/>
                <w:sz w:val="20"/>
                <w:szCs w:val="20"/>
                <w:lang w:eastAsia="zh-CN"/>
              </w:rPr>
              <w:t>平方米</w:t>
            </w:r>
            <w:r>
              <w:rPr>
                <w:rFonts w:hint="eastAsia" w:ascii="宋体" w:hAnsi="宋体" w:cs="宋体"/>
                <w:color w:val="000000"/>
                <w:kern w:val="0"/>
                <w:sz w:val="20"/>
                <w:szCs w:val="20"/>
              </w:rPr>
              <w:t>，提高了委员会议室利用率，改善办公环境，充分发挥委员作用。</w:t>
            </w:r>
          </w:p>
        </w:tc>
      </w:tr>
      <w:tr>
        <w:tblPrEx>
          <w:tblLayout w:type="fixed"/>
          <w:tblCellMar>
            <w:top w:w="0" w:type="dxa"/>
            <w:left w:w="108" w:type="dxa"/>
            <w:bottom w:w="0" w:type="dxa"/>
            <w:right w:w="108" w:type="dxa"/>
          </w:tblCellMar>
        </w:tblPrEx>
        <w:trPr>
          <w:trHeight w:val="312" w:hRule="atLeast"/>
        </w:trPr>
        <w:tc>
          <w:tcPr>
            <w:tcW w:w="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c>
          <w:tcPr>
            <w:tcW w:w="5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1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2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1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9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0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会议室粉刷面积</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w:t>
            </w:r>
            <w:r>
              <w:rPr>
                <w:rFonts w:hint="eastAsia" w:ascii="宋体" w:hAnsi="宋体" w:cs="宋体"/>
                <w:color w:val="000000"/>
                <w:kern w:val="0"/>
                <w:sz w:val="20"/>
                <w:szCs w:val="20"/>
                <w:lang w:eastAsia="zh-CN"/>
              </w:rPr>
              <w:t>平方米</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r>
              <w:rPr>
                <w:rFonts w:hint="eastAsia" w:ascii="宋体" w:hAnsi="宋体" w:cs="宋体"/>
                <w:color w:val="000000"/>
                <w:kern w:val="0"/>
                <w:sz w:val="20"/>
                <w:szCs w:val="20"/>
                <w:lang w:eastAsia="zh-CN"/>
              </w:rPr>
              <w:t>平方米</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设施更新数量</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项目完成及时率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会议室正常使用率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trPr>
        <w:tc>
          <w:tcPr>
            <w:tcW w:w="56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16"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办公人员满意度</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3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288" w:hRule="atLeast"/>
        </w:trPr>
        <w:tc>
          <w:tcPr>
            <w:tcW w:w="536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3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20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widowControl/>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390275"/>
    <w:rsid w:val="000952F8"/>
    <w:rsid w:val="000B4C02"/>
    <w:rsid w:val="001418EA"/>
    <w:rsid w:val="0017221E"/>
    <w:rsid w:val="0017554A"/>
    <w:rsid w:val="00213C59"/>
    <w:rsid w:val="002B7602"/>
    <w:rsid w:val="002F24CE"/>
    <w:rsid w:val="003210CE"/>
    <w:rsid w:val="00390275"/>
    <w:rsid w:val="004F1EB5"/>
    <w:rsid w:val="004F7725"/>
    <w:rsid w:val="00617601"/>
    <w:rsid w:val="006E7A97"/>
    <w:rsid w:val="007364CE"/>
    <w:rsid w:val="00742E65"/>
    <w:rsid w:val="00750039"/>
    <w:rsid w:val="00784DF6"/>
    <w:rsid w:val="00786215"/>
    <w:rsid w:val="00794E8D"/>
    <w:rsid w:val="00833B1B"/>
    <w:rsid w:val="0085734D"/>
    <w:rsid w:val="00893BCF"/>
    <w:rsid w:val="009C75D8"/>
    <w:rsid w:val="009D46D2"/>
    <w:rsid w:val="00A32491"/>
    <w:rsid w:val="00A51AC4"/>
    <w:rsid w:val="00A90A51"/>
    <w:rsid w:val="00B70D59"/>
    <w:rsid w:val="00D328D2"/>
    <w:rsid w:val="00DC7F92"/>
    <w:rsid w:val="00E56B0C"/>
    <w:rsid w:val="00E919CF"/>
    <w:rsid w:val="00ED6EF4"/>
    <w:rsid w:val="00F52A8D"/>
    <w:rsid w:val="00F64075"/>
    <w:rsid w:val="00F709D5"/>
    <w:rsid w:val="019404F8"/>
    <w:rsid w:val="02BD3108"/>
    <w:rsid w:val="02F73D26"/>
    <w:rsid w:val="034D4FEF"/>
    <w:rsid w:val="035D1785"/>
    <w:rsid w:val="039F47CE"/>
    <w:rsid w:val="03E05CE8"/>
    <w:rsid w:val="03F973EE"/>
    <w:rsid w:val="043E5B56"/>
    <w:rsid w:val="04C04386"/>
    <w:rsid w:val="04D96608"/>
    <w:rsid w:val="04FA68C4"/>
    <w:rsid w:val="0510564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8D6933"/>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334C37"/>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2F1147"/>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5163</Words>
  <Characters>5828</Characters>
  <Lines>86</Lines>
  <Paragraphs>24</Paragraphs>
  <TotalTime>7</TotalTime>
  <ScaleCrop>false</ScaleCrop>
  <LinksUpToDate>false</LinksUpToDate>
  <CharactersWithSpaces>5836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2025-04-22T08:26:57Z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